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6844" w:rsidRDefault="006A5587">
      <w:pPr>
        <w:pStyle w:val="Nagwek1"/>
      </w:pPr>
      <w:bookmarkStart w:id="0" w:name="_Toc0"/>
      <w:bookmarkStart w:id="1" w:name="_GoBack"/>
      <w:bookmarkEnd w:id="1"/>
      <w:r>
        <w:t>Tabela podsumowująca badanie dostępności cyfrowej</w:t>
      </w:r>
      <w:bookmarkEnd w:id="0"/>
    </w:p>
    <w:tbl>
      <w:tblPr>
        <w:tblStyle w:val="Wikom"/>
        <w:tblW w:w="0" w:type="auto"/>
        <w:tblInd w:w="80" w:type="dxa"/>
        <w:tblLook w:val="04A0" w:firstRow="1" w:lastRow="0" w:firstColumn="1" w:lastColumn="0" w:noHBand="0" w:noVBand="1"/>
      </w:tblPr>
      <w:tblGrid>
        <w:gridCol w:w="800"/>
        <w:gridCol w:w="4924"/>
        <w:gridCol w:w="1661"/>
        <w:gridCol w:w="3238"/>
      </w:tblGrid>
      <w:tr w:rsidR="00456844">
        <w:tc>
          <w:tcPr>
            <w:tcW w:w="1000" w:type="dxa"/>
            <w:noWrap/>
          </w:tcPr>
          <w:p w:rsidR="00456844" w:rsidRDefault="006A5587">
            <w:r>
              <w:rPr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4000" w:type="dxa"/>
            <w:noWrap/>
          </w:tcPr>
          <w:p w:rsidR="00456844" w:rsidRDefault="006A5587">
            <w:r>
              <w:rPr>
                <w:b/>
                <w:bCs/>
                <w:sz w:val="24"/>
                <w:szCs w:val="24"/>
              </w:rPr>
              <w:t>Kryterium sukcesu</w:t>
            </w:r>
          </w:p>
        </w:tc>
        <w:tc>
          <w:tcPr>
            <w:tcW w:w="2000" w:type="dxa"/>
            <w:noWrap/>
          </w:tcPr>
          <w:p w:rsidR="00456844" w:rsidRDefault="006A5587">
            <w:r>
              <w:rPr>
                <w:b/>
                <w:bCs/>
                <w:sz w:val="24"/>
                <w:szCs w:val="24"/>
              </w:rPr>
              <w:t>Status</w:t>
            </w:r>
          </w:p>
        </w:tc>
        <w:tc>
          <w:tcPr>
            <w:tcW w:w="3500" w:type="dxa"/>
            <w:noWrap/>
          </w:tcPr>
          <w:p w:rsidR="00456844" w:rsidRDefault="006A5587">
            <w:r>
              <w:rPr>
                <w:b/>
                <w:bCs/>
                <w:sz w:val="24"/>
                <w:szCs w:val="24"/>
              </w:rPr>
              <w:t>Adres www, ewentualne uwagi</w:t>
            </w:r>
          </w:p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1</w:t>
            </w:r>
          </w:p>
        </w:tc>
        <w:tc>
          <w:tcPr>
            <w:tcW w:w="0" w:type="auto"/>
            <w:noWrap/>
          </w:tcPr>
          <w:p w:rsidR="00456844" w:rsidRDefault="006A5587">
            <w:r>
              <w:t>1.1.1 Treść nietekstowa</w:t>
            </w:r>
          </w:p>
        </w:tc>
        <w:tc>
          <w:tcPr>
            <w:tcW w:w="0" w:type="auto"/>
            <w:noWrap/>
          </w:tcPr>
          <w:p w:rsidR="00456844" w:rsidRDefault="005577BA">
            <w:r>
              <w:t>Ocena negatywna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2</w:t>
            </w:r>
          </w:p>
        </w:tc>
        <w:tc>
          <w:tcPr>
            <w:tcW w:w="0" w:type="auto"/>
            <w:noWrap/>
          </w:tcPr>
          <w:p w:rsidR="00456844" w:rsidRPr="005577BA" w:rsidRDefault="006A5587">
            <w:pPr>
              <w:rPr>
                <w:lang w:val="pl-PL"/>
              </w:rPr>
            </w:pPr>
            <w:r w:rsidRPr="005577BA">
              <w:rPr>
                <w:lang w:val="pl-PL"/>
              </w:rPr>
              <w:t>1.2.1 Tylko audio lub tylko wideo (nagranie)</w:t>
            </w:r>
          </w:p>
        </w:tc>
        <w:tc>
          <w:tcPr>
            <w:tcW w:w="0" w:type="auto"/>
            <w:noWrap/>
          </w:tcPr>
          <w:p w:rsidR="00456844" w:rsidRDefault="006A5587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3</w:t>
            </w:r>
          </w:p>
        </w:tc>
        <w:tc>
          <w:tcPr>
            <w:tcW w:w="0" w:type="auto"/>
            <w:noWrap/>
          </w:tcPr>
          <w:p w:rsidR="00456844" w:rsidRDefault="006A5587">
            <w:r>
              <w:t>1.2.2 Napisy rozszerzone (nagranie)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Nie </w:t>
            </w:r>
            <w:r>
              <w:t>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4</w:t>
            </w:r>
          </w:p>
        </w:tc>
        <w:tc>
          <w:tcPr>
            <w:tcW w:w="0" w:type="auto"/>
            <w:noWrap/>
          </w:tcPr>
          <w:p w:rsidR="00456844" w:rsidRPr="005577BA" w:rsidRDefault="006A5587">
            <w:pPr>
              <w:rPr>
                <w:lang w:val="pl-PL"/>
              </w:rPr>
            </w:pPr>
            <w:r w:rsidRPr="005577BA">
              <w:rPr>
                <w:lang w:val="pl-PL"/>
              </w:rPr>
              <w:t>1.2.3 Audiodeskrypcja lub alternatywa tekstowa dla mediów (nagranie)</w:t>
            </w:r>
          </w:p>
        </w:tc>
        <w:tc>
          <w:tcPr>
            <w:tcW w:w="0" w:type="auto"/>
            <w:noWrap/>
          </w:tcPr>
          <w:p w:rsidR="00456844" w:rsidRDefault="005577BA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5</w:t>
            </w:r>
          </w:p>
        </w:tc>
        <w:tc>
          <w:tcPr>
            <w:tcW w:w="0" w:type="auto"/>
            <w:noWrap/>
          </w:tcPr>
          <w:p w:rsidR="00456844" w:rsidRDefault="006A5587">
            <w:r>
              <w:t>1.2.5 Audiodeskrypcja (nagranie)</w:t>
            </w:r>
          </w:p>
        </w:tc>
        <w:tc>
          <w:tcPr>
            <w:tcW w:w="0" w:type="auto"/>
            <w:noWrap/>
          </w:tcPr>
          <w:p w:rsidR="00456844" w:rsidRDefault="006A5587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6</w:t>
            </w:r>
          </w:p>
        </w:tc>
        <w:tc>
          <w:tcPr>
            <w:tcW w:w="0" w:type="auto"/>
            <w:noWrap/>
          </w:tcPr>
          <w:p w:rsidR="00456844" w:rsidRDefault="006A5587">
            <w:r>
              <w:t>1.3.1 Informacje i relacje</w:t>
            </w:r>
          </w:p>
        </w:tc>
        <w:tc>
          <w:tcPr>
            <w:tcW w:w="0" w:type="auto"/>
            <w:noWrap/>
          </w:tcPr>
          <w:p w:rsidR="00456844" w:rsidRDefault="006A5587">
            <w:r>
              <w:t>Ocena pozytywna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7</w:t>
            </w:r>
          </w:p>
        </w:tc>
        <w:tc>
          <w:tcPr>
            <w:tcW w:w="0" w:type="auto"/>
            <w:noWrap/>
          </w:tcPr>
          <w:p w:rsidR="00456844" w:rsidRDefault="006A5587">
            <w:r>
              <w:t>1.3.2 Zrozumiała kolejność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Ocena </w:t>
            </w:r>
            <w:r w:rsidR="005577BA">
              <w:t>pozytywna</w:t>
            </w:r>
          </w:p>
        </w:tc>
        <w:tc>
          <w:tcPr>
            <w:tcW w:w="0" w:type="auto"/>
            <w:noWrap/>
          </w:tcPr>
          <w:p w:rsidR="00456844" w:rsidRDefault="009869DB">
            <w:r w:rsidRPr="009869DB">
              <w:t>https://www.</w:t>
            </w:r>
            <w:r w:rsidR="004B2202">
              <w:t>gigantymocy</w:t>
            </w:r>
            <w:r w:rsidRPr="009869DB">
              <w:t>.pl/</w:t>
            </w:r>
            <w:r>
              <w:br/>
            </w:r>
            <w:r w:rsidR="004B2202" w:rsidRPr="004B2202">
              <w:t>https://gigantymocy.pl/o-ekspozycji/idea-2019</w:t>
            </w:r>
            <w:r>
              <w:br/>
            </w:r>
            <w:r w:rsidR="004B2202" w:rsidRPr="004B2202">
              <w:t>https://gigantymocy.pl/deklaracja-dostepnosci</w:t>
            </w:r>
          </w:p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8</w:t>
            </w:r>
          </w:p>
        </w:tc>
        <w:tc>
          <w:tcPr>
            <w:tcW w:w="0" w:type="auto"/>
            <w:noWrap/>
          </w:tcPr>
          <w:p w:rsidR="00456844" w:rsidRDefault="006A5587">
            <w:r>
              <w:t>1.3.3 Właściwości zmysłowe</w:t>
            </w:r>
          </w:p>
        </w:tc>
        <w:tc>
          <w:tcPr>
            <w:tcW w:w="0" w:type="auto"/>
            <w:noWrap/>
          </w:tcPr>
          <w:p w:rsidR="00456844" w:rsidRDefault="006A5587">
            <w:r>
              <w:t>Ocena pozytywna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9</w:t>
            </w:r>
          </w:p>
        </w:tc>
        <w:tc>
          <w:tcPr>
            <w:tcW w:w="0" w:type="auto"/>
            <w:noWrap/>
          </w:tcPr>
          <w:p w:rsidR="00456844" w:rsidRDefault="006A5587">
            <w:r>
              <w:t>1.3.4 Orientacja</w:t>
            </w:r>
          </w:p>
        </w:tc>
        <w:tc>
          <w:tcPr>
            <w:tcW w:w="0" w:type="auto"/>
            <w:noWrap/>
          </w:tcPr>
          <w:p w:rsidR="00456844" w:rsidRDefault="006A5587">
            <w:r>
              <w:t>Ocena pozytywna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10</w:t>
            </w:r>
          </w:p>
        </w:tc>
        <w:tc>
          <w:tcPr>
            <w:tcW w:w="0" w:type="auto"/>
            <w:noWrap/>
          </w:tcPr>
          <w:p w:rsidR="00456844" w:rsidRDefault="006A5587">
            <w:r>
              <w:t>1.3.5 Określenie pożądanej wartości</w:t>
            </w:r>
          </w:p>
        </w:tc>
        <w:tc>
          <w:tcPr>
            <w:tcW w:w="0" w:type="auto"/>
            <w:noWrap/>
          </w:tcPr>
          <w:p w:rsidR="00456844" w:rsidRDefault="006A5587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11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1.4.1 </w:t>
            </w:r>
            <w:r>
              <w:t>Użycie koloru</w:t>
            </w:r>
          </w:p>
        </w:tc>
        <w:tc>
          <w:tcPr>
            <w:tcW w:w="0" w:type="auto"/>
            <w:noWrap/>
          </w:tcPr>
          <w:p w:rsidR="00456844" w:rsidRDefault="006A5587">
            <w:r>
              <w:t>Ocena pozytywna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12</w:t>
            </w:r>
          </w:p>
        </w:tc>
        <w:tc>
          <w:tcPr>
            <w:tcW w:w="0" w:type="auto"/>
            <w:noWrap/>
          </w:tcPr>
          <w:p w:rsidR="00456844" w:rsidRDefault="006A5587">
            <w:r>
              <w:t>1.4.2 Kontrola odtwarzania dźwięku</w:t>
            </w:r>
          </w:p>
        </w:tc>
        <w:tc>
          <w:tcPr>
            <w:tcW w:w="0" w:type="auto"/>
            <w:noWrap/>
          </w:tcPr>
          <w:p w:rsidR="00456844" w:rsidRDefault="006A5587">
            <w:r>
              <w:t>Ocena pozytywna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13</w:t>
            </w:r>
          </w:p>
        </w:tc>
        <w:tc>
          <w:tcPr>
            <w:tcW w:w="0" w:type="auto"/>
            <w:noWrap/>
          </w:tcPr>
          <w:p w:rsidR="00456844" w:rsidRDefault="006A5587">
            <w:r>
              <w:t>1.4.3 Kontrast (minimalny)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Ocena </w:t>
            </w:r>
            <w:r w:rsidR="00B917CF">
              <w:t>negatywna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14</w:t>
            </w:r>
          </w:p>
        </w:tc>
        <w:tc>
          <w:tcPr>
            <w:tcW w:w="0" w:type="auto"/>
            <w:noWrap/>
          </w:tcPr>
          <w:p w:rsidR="00456844" w:rsidRDefault="006A5587">
            <w:r>
              <w:t>1.4.4 Zmiana rozmiaru tekstu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Ocena </w:t>
            </w:r>
            <w:r w:rsidR="00B917CF">
              <w:t>negatywna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15</w:t>
            </w:r>
          </w:p>
        </w:tc>
        <w:tc>
          <w:tcPr>
            <w:tcW w:w="0" w:type="auto"/>
            <w:noWrap/>
          </w:tcPr>
          <w:p w:rsidR="00456844" w:rsidRDefault="006A5587">
            <w:r>
              <w:t>1.4.5 Obrazy tekstu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Ocena </w:t>
            </w:r>
            <w:r w:rsidR="00B917CF">
              <w:t>negatywna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16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1.4.10 Dopasowanie do </w:t>
            </w:r>
            <w:r>
              <w:t>ekranu</w:t>
            </w:r>
          </w:p>
        </w:tc>
        <w:tc>
          <w:tcPr>
            <w:tcW w:w="0" w:type="auto"/>
            <w:noWrap/>
          </w:tcPr>
          <w:p w:rsidR="00456844" w:rsidRDefault="006A5587">
            <w:r>
              <w:t>Ocena pozytywna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lastRenderedPageBreak/>
              <w:t>17</w:t>
            </w:r>
          </w:p>
        </w:tc>
        <w:tc>
          <w:tcPr>
            <w:tcW w:w="0" w:type="auto"/>
            <w:noWrap/>
          </w:tcPr>
          <w:p w:rsidR="00456844" w:rsidRDefault="006A5587">
            <w:r>
              <w:t>1.4.11 Kontrast elementów nietekstowych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Ocena </w:t>
            </w:r>
            <w:r w:rsidR="00E04A91">
              <w:t>negatywna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18</w:t>
            </w:r>
          </w:p>
        </w:tc>
        <w:tc>
          <w:tcPr>
            <w:tcW w:w="0" w:type="auto"/>
            <w:noWrap/>
          </w:tcPr>
          <w:p w:rsidR="00456844" w:rsidRDefault="006A5587">
            <w:r>
              <w:t>1.4.12 Odstępy w tekście</w:t>
            </w:r>
          </w:p>
        </w:tc>
        <w:tc>
          <w:tcPr>
            <w:tcW w:w="0" w:type="auto"/>
            <w:noWrap/>
          </w:tcPr>
          <w:p w:rsidR="00456844" w:rsidRDefault="006A5587">
            <w:r>
              <w:t>Ocena pozytywna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19</w:t>
            </w:r>
          </w:p>
        </w:tc>
        <w:tc>
          <w:tcPr>
            <w:tcW w:w="0" w:type="auto"/>
            <w:noWrap/>
          </w:tcPr>
          <w:p w:rsidR="00456844" w:rsidRPr="005577BA" w:rsidRDefault="006A5587">
            <w:pPr>
              <w:rPr>
                <w:lang w:val="pl-PL"/>
              </w:rPr>
            </w:pPr>
            <w:r w:rsidRPr="005577BA">
              <w:rPr>
                <w:lang w:val="pl-PL"/>
              </w:rPr>
              <w:t>1.4.13 Treści spod kursora lub fokusu</w:t>
            </w:r>
          </w:p>
        </w:tc>
        <w:tc>
          <w:tcPr>
            <w:tcW w:w="0" w:type="auto"/>
            <w:noWrap/>
          </w:tcPr>
          <w:p w:rsidR="00456844" w:rsidRDefault="006A5587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20</w:t>
            </w:r>
          </w:p>
        </w:tc>
        <w:tc>
          <w:tcPr>
            <w:tcW w:w="0" w:type="auto"/>
            <w:noWrap/>
          </w:tcPr>
          <w:p w:rsidR="00456844" w:rsidRDefault="006A5587">
            <w:r>
              <w:t>2.1.1 Klawiatura</w:t>
            </w:r>
          </w:p>
        </w:tc>
        <w:tc>
          <w:tcPr>
            <w:tcW w:w="0" w:type="auto"/>
            <w:noWrap/>
          </w:tcPr>
          <w:p w:rsidR="00456844" w:rsidRDefault="006A5587">
            <w:r>
              <w:t>Ocena pozytywna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21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2.1.2 Bez pułapki na </w:t>
            </w:r>
            <w:r>
              <w:t>klawiaturę</w:t>
            </w:r>
          </w:p>
        </w:tc>
        <w:tc>
          <w:tcPr>
            <w:tcW w:w="0" w:type="auto"/>
            <w:noWrap/>
          </w:tcPr>
          <w:p w:rsidR="00456844" w:rsidRDefault="00E04A91">
            <w:r>
              <w:t>Ocena pozytywna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22</w:t>
            </w:r>
          </w:p>
        </w:tc>
        <w:tc>
          <w:tcPr>
            <w:tcW w:w="0" w:type="auto"/>
            <w:noWrap/>
          </w:tcPr>
          <w:p w:rsidR="00456844" w:rsidRDefault="006A5587">
            <w:r>
              <w:t>2.1.4 Jednoznakowe skróty klawiaturowe</w:t>
            </w:r>
          </w:p>
        </w:tc>
        <w:tc>
          <w:tcPr>
            <w:tcW w:w="0" w:type="auto"/>
            <w:noWrap/>
          </w:tcPr>
          <w:p w:rsidR="00456844" w:rsidRDefault="006A5587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23</w:t>
            </w:r>
          </w:p>
        </w:tc>
        <w:tc>
          <w:tcPr>
            <w:tcW w:w="0" w:type="auto"/>
            <w:noWrap/>
          </w:tcPr>
          <w:p w:rsidR="00456844" w:rsidRDefault="006A5587">
            <w:r>
              <w:t>2.2.1 Dostosowanie czasu</w:t>
            </w:r>
          </w:p>
        </w:tc>
        <w:tc>
          <w:tcPr>
            <w:tcW w:w="0" w:type="auto"/>
            <w:noWrap/>
          </w:tcPr>
          <w:p w:rsidR="00456844" w:rsidRDefault="00E04A91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24</w:t>
            </w:r>
          </w:p>
        </w:tc>
        <w:tc>
          <w:tcPr>
            <w:tcW w:w="0" w:type="auto"/>
            <w:noWrap/>
          </w:tcPr>
          <w:p w:rsidR="00456844" w:rsidRDefault="006A5587">
            <w:r>
              <w:t>2.2.2 Pauza, zatrzymanie, ukrycie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Ocena </w:t>
            </w:r>
            <w:r w:rsidR="00E04A91">
              <w:t>negatywna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25</w:t>
            </w:r>
          </w:p>
        </w:tc>
        <w:tc>
          <w:tcPr>
            <w:tcW w:w="0" w:type="auto"/>
            <w:noWrap/>
          </w:tcPr>
          <w:p w:rsidR="00456844" w:rsidRPr="005577BA" w:rsidRDefault="006A5587">
            <w:pPr>
              <w:rPr>
                <w:lang w:val="pl-PL"/>
              </w:rPr>
            </w:pPr>
            <w:r w:rsidRPr="005577BA">
              <w:rPr>
                <w:lang w:val="pl-PL"/>
              </w:rPr>
              <w:t>2.3.1 Trzy błyski lub wartości poniżej progu</w:t>
            </w:r>
          </w:p>
        </w:tc>
        <w:tc>
          <w:tcPr>
            <w:tcW w:w="0" w:type="auto"/>
            <w:noWrap/>
          </w:tcPr>
          <w:p w:rsidR="00456844" w:rsidRDefault="006A5587">
            <w:r>
              <w:t>Ocena pozytywna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26</w:t>
            </w:r>
          </w:p>
        </w:tc>
        <w:tc>
          <w:tcPr>
            <w:tcW w:w="0" w:type="auto"/>
            <w:noWrap/>
          </w:tcPr>
          <w:p w:rsidR="00456844" w:rsidRDefault="006A5587">
            <w:r>
              <w:t>2.4.1</w:t>
            </w:r>
            <w:r>
              <w:t xml:space="preserve"> Możliwość pominięcia bloków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Ocena </w:t>
            </w:r>
            <w:r w:rsidR="00E04A91">
              <w:t>negatywna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27</w:t>
            </w:r>
          </w:p>
        </w:tc>
        <w:tc>
          <w:tcPr>
            <w:tcW w:w="0" w:type="auto"/>
            <w:noWrap/>
          </w:tcPr>
          <w:p w:rsidR="00456844" w:rsidRDefault="006A5587">
            <w:r>
              <w:t>2.4.2 Tytuł strony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Ocena </w:t>
            </w:r>
            <w:r w:rsidR="00E04A91">
              <w:t>negatywna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28</w:t>
            </w:r>
          </w:p>
        </w:tc>
        <w:tc>
          <w:tcPr>
            <w:tcW w:w="0" w:type="auto"/>
            <w:noWrap/>
          </w:tcPr>
          <w:p w:rsidR="00456844" w:rsidRDefault="006A5587">
            <w:r>
              <w:t>2.4.3 Kolejność fokusu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Ocena </w:t>
            </w:r>
            <w:r w:rsidR="00E04A91">
              <w:t>negatywna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29</w:t>
            </w:r>
          </w:p>
        </w:tc>
        <w:tc>
          <w:tcPr>
            <w:tcW w:w="0" w:type="auto"/>
            <w:noWrap/>
          </w:tcPr>
          <w:p w:rsidR="00456844" w:rsidRDefault="006A5587">
            <w:r>
              <w:t>2.4.4 Cel łącza (w kontekście)</w:t>
            </w:r>
          </w:p>
        </w:tc>
        <w:tc>
          <w:tcPr>
            <w:tcW w:w="0" w:type="auto"/>
            <w:noWrap/>
          </w:tcPr>
          <w:p w:rsidR="00456844" w:rsidRDefault="00E04A91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30</w:t>
            </w:r>
          </w:p>
        </w:tc>
        <w:tc>
          <w:tcPr>
            <w:tcW w:w="0" w:type="auto"/>
            <w:noWrap/>
          </w:tcPr>
          <w:p w:rsidR="00456844" w:rsidRDefault="006A5587">
            <w:r>
              <w:t>2.4.5 Wiele dróg</w:t>
            </w:r>
          </w:p>
        </w:tc>
        <w:tc>
          <w:tcPr>
            <w:tcW w:w="0" w:type="auto"/>
            <w:noWrap/>
          </w:tcPr>
          <w:p w:rsidR="00456844" w:rsidRDefault="00E04A91">
            <w:r>
              <w:t>Ocena pozytywna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31</w:t>
            </w:r>
          </w:p>
        </w:tc>
        <w:tc>
          <w:tcPr>
            <w:tcW w:w="0" w:type="auto"/>
            <w:noWrap/>
          </w:tcPr>
          <w:p w:rsidR="00456844" w:rsidRDefault="006A5587">
            <w:r>
              <w:t>2.4.6 Nagłówki i etykiety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Ocena </w:t>
            </w:r>
            <w:r w:rsidR="00E04A91">
              <w:t>negatywna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32</w:t>
            </w:r>
          </w:p>
        </w:tc>
        <w:tc>
          <w:tcPr>
            <w:tcW w:w="0" w:type="auto"/>
            <w:noWrap/>
          </w:tcPr>
          <w:p w:rsidR="00456844" w:rsidRDefault="006A5587">
            <w:r>
              <w:t>2.4.7 Widoczny fokus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Ocena </w:t>
            </w:r>
            <w:r w:rsidR="00E04A91">
              <w:t>negatywna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33</w:t>
            </w:r>
          </w:p>
        </w:tc>
        <w:tc>
          <w:tcPr>
            <w:tcW w:w="0" w:type="auto"/>
            <w:noWrap/>
          </w:tcPr>
          <w:p w:rsidR="00456844" w:rsidRDefault="006A5587">
            <w:r>
              <w:t>2.5.1 Gesty dotykowe</w:t>
            </w:r>
          </w:p>
        </w:tc>
        <w:tc>
          <w:tcPr>
            <w:tcW w:w="0" w:type="auto"/>
            <w:noWrap/>
          </w:tcPr>
          <w:p w:rsidR="00456844" w:rsidRDefault="006A5587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34</w:t>
            </w:r>
          </w:p>
        </w:tc>
        <w:tc>
          <w:tcPr>
            <w:tcW w:w="0" w:type="auto"/>
            <w:noWrap/>
          </w:tcPr>
          <w:p w:rsidR="00456844" w:rsidRDefault="006A5587">
            <w:r>
              <w:t>2.5.2 Rezygnacja ze wskazania</w:t>
            </w:r>
          </w:p>
        </w:tc>
        <w:tc>
          <w:tcPr>
            <w:tcW w:w="0" w:type="auto"/>
            <w:noWrap/>
          </w:tcPr>
          <w:p w:rsidR="00456844" w:rsidRDefault="006A5587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35</w:t>
            </w:r>
          </w:p>
        </w:tc>
        <w:tc>
          <w:tcPr>
            <w:tcW w:w="0" w:type="auto"/>
            <w:noWrap/>
          </w:tcPr>
          <w:p w:rsidR="00456844" w:rsidRDefault="006A5587">
            <w:r>
              <w:t>2.5.3 Etykieta w nazwie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Ocena </w:t>
            </w:r>
            <w:r w:rsidR="000375F3">
              <w:t>negatywna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36</w:t>
            </w:r>
          </w:p>
        </w:tc>
        <w:tc>
          <w:tcPr>
            <w:tcW w:w="0" w:type="auto"/>
            <w:noWrap/>
          </w:tcPr>
          <w:p w:rsidR="00456844" w:rsidRDefault="006A5587">
            <w:r>
              <w:t>2.5.4 Aktywowanie ruchem</w:t>
            </w:r>
          </w:p>
        </w:tc>
        <w:tc>
          <w:tcPr>
            <w:tcW w:w="0" w:type="auto"/>
            <w:noWrap/>
          </w:tcPr>
          <w:p w:rsidR="00456844" w:rsidRDefault="006A5587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lastRenderedPageBreak/>
              <w:t>37</w:t>
            </w:r>
          </w:p>
        </w:tc>
        <w:tc>
          <w:tcPr>
            <w:tcW w:w="0" w:type="auto"/>
            <w:noWrap/>
          </w:tcPr>
          <w:p w:rsidR="00456844" w:rsidRDefault="006A5587">
            <w:r>
              <w:t>3.1.1 Język strony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Ocena </w:t>
            </w:r>
            <w:r w:rsidR="000375F3">
              <w:t>negatywna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38</w:t>
            </w:r>
          </w:p>
        </w:tc>
        <w:tc>
          <w:tcPr>
            <w:tcW w:w="0" w:type="auto"/>
            <w:noWrap/>
          </w:tcPr>
          <w:p w:rsidR="00456844" w:rsidRDefault="006A5587">
            <w:r>
              <w:t>3.1.2 Język części</w:t>
            </w:r>
          </w:p>
        </w:tc>
        <w:tc>
          <w:tcPr>
            <w:tcW w:w="0" w:type="auto"/>
            <w:noWrap/>
          </w:tcPr>
          <w:p w:rsidR="00456844" w:rsidRDefault="006A5587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39</w:t>
            </w:r>
          </w:p>
        </w:tc>
        <w:tc>
          <w:tcPr>
            <w:tcW w:w="0" w:type="auto"/>
            <w:noWrap/>
          </w:tcPr>
          <w:p w:rsidR="00456844" w:rsidRDefault="006A5587">
            <w:r>
              <w:t>3.2.1 Po otrzymaniu fokusu</w:t>
            </w:r>
          </w:p>
        </w:tc>
        <w:tc>
          <w:tcPr>
            <w:tcW w:w="0" w:type="auto"/>
            <w:noWrap/>
          </w:tcPr>
          <w:p w:rsidR="00456844" w:rsidRDefault="006A5587">
            <w:r>
              <w:t>Ocena pozytywna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40</w:t>
            </w:r>
          </w:p>
        </w:tc>
        <w:tc>
          <w:tcPr>
            <w:tcW w:w="0" w:type="auto"/>
            <w:noWrap/>
          </w:tcPr>
          <w:p w:rsidR="00456844" w:rsidRDefault="006A5587">
            <w:r>
              <w:t>3.2.2 Podczas wprowadzania danych</w:t>
            </w:r>
          </w:p>
        </w:tc>
        <w:tc>
          <w:tcPr>
            <w:tcW w:w="0" w:type="auto"/>
            <w:noWrap/>
          </w:tcPr>
          <w:p w:rsidR="00456844" w:rsidRDefault="000375F3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41</w:t>
            </w:r>
          </w:p>
        </w:tc>
        <w:tc>
          <w:tcPr>
            <w:tcW w:w="0" w:type="auto"/>
            <w:noWrap/>
          </w:tcPr>
          <w:p w:rsidR="00456844" w:rsidRDefault="006A5587">
            <w:r>
              <w:t>3.2.3 Spójna nawigacja</w:t>
            </w:r>
          </w:p>
        </w:tc>
        <w:tc>
          <w:tcPr>
            <w:tcW w:w="0" w:type="auto"/>
            <w:noWrap/>
          </w:tcPr>
          <w:p w:rsidR="00456844" w:rsidRDefault="006A5587">
            <w:r>
              <w:t>Wymaga sprawdzenia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42</w:t>
            </w:r>
          </w:p>
        </w:tc>
        <w:tc>
          <w:tcPr>
            <w:tcW w:w="0" w:type="auto"/>
            <w:noWrap/>
          </w:tcPr>
          <w:p w:rsidR="00456844" w:rsidRDefault="006A5587">
            <w:r>
              <w:t>3.2.4 Spójna identyfikacja</w:t>
            </w:r>
          </w:p>
        </w:tc>
        <w:tc>
          <w:tcPr>
            <w:tcW w:w="0" w:type="auto"/>
            <w:noWrap/>
          </w:tcPr>
          <w:p w:rsidR="00456844" w:rsidRDefault="006A5587">
            <w:r>
              <w:t>Ocena pozytywna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43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3.3.1 </w:t>
            </w:r>
            <w:r>
              <w:t>Identyfikacja błędu</w:t>
            </w:r>
          </w:p>
        </w:tc>
        <w:tc>
          <w:tcPr>
            <w:tcW w:w="0" w:type="auto"/>
            <w:noWrap/>
          </w:tcPr>
          <w:p w:rsidR="00456844" w:rsidRDefault="006A5587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44</w:t>
            </w:r>
          </w:p>
        </w:tc>
        <w:tc>
          <w:tcPr>
            <w:tcW w:w="0" w:type="auto"/>
            <w:noWrap/>
          </w:tcPr>
          <w:p w:rsidR="00456844" w:rsidRDefault="006A5587">
            <w:r>
              <w:t>3.3.2 Etykiety lub instrukcje</w:t>
            </w:r>
          </w:p>
        </w:tc>
        <w:tc>
          <w:tcPr>
            <w:tcW w:w="0" w:type="auto"/>
            <w:noWrap/>
          </w:tcPr>
          <w:p w:rsidR="00456844" w:rsidRDefault="000375F3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45</w:t>
            </w:r>
          </w:p>
        </w:tc>
        <w:tc>
          <w:tcPr>
            <w:tcW w:w="0" w:type="auto"/>
            <w:noWrap/>
          </w:tcPr>
          <w:p w:rsidR="00456844" w:rsidRDefault="006A5587">
            <w:r>
              <w:t>3.3.3 Sugestie korekty błędów</w:t>
            </w:r>
          </w:p>
        </w:tc>
        <w:tc>
          <w:tcPr>
            <w:tcW w:w="0" w:type="auto"/>
            <w:noWrap/>
          </w:tcPr>
          <w:p w:rsidR="00456844" w:rsidRDefault="006A5587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46</w:t>
            </w:r>
          </w:p>
        </w:tc>
        <w:tc>
          <w:tcPr>
            <w:tcW w:w="0" w:type="auto"/>
            <w:noWrap/>
          </w:tcPr>
          <w:p w:rsidR="00456844" w:rsidRPr="005577BA" w:rsidRDefault="006A5587">
            <w:pPr>
              <w:rPr>
                <w:lang w:val="pl-PL"/>
              </w:rPr>
            </w:pPr>
            <w:r w:rsidRPr="005577BA">
              <w:rPr>
                <w:lang w:val="pl-PL"/>
              </w:rPr>
              <w:t>3.3.4 Zapobieganie błędom (prawnym, finansowym, w danych)</w:t>
            </w:r>
          </w:p>
        </w:tc>
        <w:tc>
          <w:tcPr>
            <w:tcW w:w="0" w:type="auto"/>
            <w:noWrap/>
          </w:tcPr>
          <w:p w:rsidR="00456844" w:rsidRDefault="006A5587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47</w:t>
            </w:r>
          </w:p>
        </w:tc>
        <w:tc>
          <w:tcPr>
            <w:tcW w:w="0" w:type="auto"/>
            <w:noWrap/>
          </w:tcPr>
          <w:p w:rsidR="00456844" w:rsidRDefault="006A5587">
            <w:r>
              <w:t>4.1.1 Poprawność kodu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Ocena </w:t>
            </w:r>
            <w:r w:rsidR="000375F3">
              <w:t>negatywna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48</w:t>
            </w:r>
          </w:p>
        </w:tc>
        <w:tc>
          <w:tcPr>
            <w:tcW w:w="0" w:type="auto"/>
            <w:noWrap/>
          </w:tcPr>
          <w:p w:rsidR="00456844" w:rsidRDefault="006A5587">
            <w:r>
              <w:t xml:space="preserve">4.1.2 </w:t>
            </w:r>
            <w:r>
              <w:t>Nazwa, rola, wartość</w:t>
            </w:r>
          </w:p>
        </w:tc>
        <w:tc>
          <w:tcPr>
            <w:tcW w:w="0" w:type="auto"/>
            <w:noWrap/>
          </w:tcPr>
          <w:p w:rsidR="00456844" w:rsidRDefault="006A5587">
            <w:r>
              <w:t>Ocena pozytywna</w:t>
            </w:r>
          </w:p>
        </w:tc>
        <w:tc>
          <w:tcPr>
            <w:tcW w:w="0" w:type="auto"/>
            <w:noWrap/>
          </w:tcPr>
          <w:p w:rsidR="00456844" w:rsidRDefault="00456844"/>
        </w:tc>
      </w:tr>
      <w:tr w:rsidR="00456844">
        <w:tc>
          <w:tcPr>
            <w:tcW w:w="0" w:type="auto"/>
            <w:noWrap/>
          </w:tcPr>
          <w:p w:rsidR="00456844" w:rsidRDefault="006A5587">
            <w:r>
              <w:t>49</w:t>
            </w:r>
          </w:p>
        </w:tc>
        <w:tc>
          <w:tcPr>
            <w:tcW w:w="0" w:type="auto"/>
            <w:noWrap/>
          </w:tcPr>
          <w:p w:rsidR="00456844" w:rsidRDefault="006A5587">
            <w:r>
              <w:t>4.1.3 Komunikaty o stanie</w:t>
            </w:r>
          </w:p>
        </w:tc>
        <w:tc>
          <w:tcPr>
            <w:tcW w:w="0" w:type="auto"/>
            <w:noWrap/>
          </w:tcPr>
          <w:p w:rsidR="00456844" w:rsidRDefault="006A5587">
            <w:r>
              <w:t>Nie dotyczy</w:t>
            </w:r>
          </w:p>
        </w:tc>
        <w:tc>
          <w:tcPr>
            <w:tcW w:w="0" w:type="auto"/>
            <w:noWrap/>
          </w:tcPr>
          <w:p w:rsidR="00456844" w:rsidRDefault="00456844"/>
        </w:tc>
      </w:tr>
    </w:tbl>
    <w:p w:rsidR="008A775D" w:rsidRDefault="008A775D"/>
    <w:sectPr w:rsidR="008A775D">
      <w:pgSz w:w="11905" w:h="16837"/>
      <w:pgMar w:top="600" w:right="600" w:bottom="60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844"/>
    <w:rsid w:val="000375F3"/>
    <w:rsid w:val="00333985"/>
    <w:rsid w:val="00456844"/>
    <w:rsid w:val="004B2202"/>
    <w:rsid w:val="005577BA"/>
    <w:rsid w:val="006A5587"/>
    <w:rsid w:val="008A775D"/>
    <w:rsid w:val="009869DB"/>
    <w:rsid w:val="00AA3AA2"/>
    <w:rsid w:val="00B917CF"/>
    <w:rsid w:val="00E04A91"/>
    <w:rsid w:val="00E109EF"/>
    <w:rsid w:val="00F12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143A3E-A35A-44FE-9124-BBE7DF779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en-US" w:eastAsia="pl-PL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uiPriority w:val="9"/>
    <w:qFormat/>
    <w:pPr>
      <w:outlineLvl w:val="0"/>
    </w:pPr>
    <w:rPr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semiHidden/>
    <w:unhideWhenUsed/>
    <w:rPr>
      <w:vertAlign w:val="superscript"/>
    </w:rPr>
  </w:style>
  <w:style w:type="table" w:customStyle="1" w:styleId="Wikom">
    <w:name w:val="Wikom"/>
    <w:uiPriority w:val="99"/>
    <w:tblPr>
      <w:tblBorders>
        <w:top w:val="single" w:sz="1" w:space="0" w:color="006699"/>
        <w:left w:val="single" w:sz="1" w:space="0" w:color="006699"/>
        <w:bottom w:val="single" w:sz="1" w:space="0" w:color="006699"/>
        <w:right w:val="single" w:sz="1" w:space="0" w:color="006699"/>
        <w:insideH w:val="single" w:sz="1" w:space="0" w:color="006699"/>
        <w:insideV w:val="single" w:sz="1" w:space="0" w:color="006699"/>
      </w:tblBorders>
      <w:tblCellMar>
        <w:top w:w="80" w:type="dxa"/>
        <w:left w:w="80" w:type="dxa"/>
        <w:bottom w:w="80" w:type="dxa"/>
        <w:right w:w="80" w:type="dxa"/>
      </w:tblCellMar>
    </w:tblPr>
  </w:style>
  <w:style w:type="character" w:styleId="Hipercze">
    <w:name w:val="Hyperlink"/>
    <w:basedOn w:val="Domylnaczcionkaakapitu"/>
    <w:uiPriority w:val="99"/>
    <w:unhideWhenUsed/>
    <w:rsid w:val="009869DB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9869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Wionczyk</dc:creator>
  <cp:keywords/>
  <dc:description/>
  <cp:lastModifiedBy>Piotr Wionczyk</cp:lastModifiedBy>
  <cp:revision>2</cp:revision>
  <dcterms:created xsi:type="dcterms:W3CDTF">2026-03-27T07:02:00Z</dcterms:created>
  <dcterms:modified xsi:type="dcterms:W3CDTF">2026-03-27T07:02:00Z</dcterms:modified>
  <cp:category/>
</cp:coreProperties>
</file>